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65354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-582930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5pt;margin-top:8.1pt;width:335.25pt;height:7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284D17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93980</wp:posOffset>
                </wp:positionV>
                <wp:extent cx="2774315" cy="120586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5361">
                          <a:off x="0" y="0"/>
                          <a:ext cx="27743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1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4pt;width:218.45pt;height:94.95pt;rotation:-16980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" filled="f" stroked="f"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1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8F4B84">
        <w:rPr>
          <w:rFonts w:ascii="Cooper Black" w:hAnsi="Cooper Black"/>
          <w:sz w:val="32"/>
          <w:szCs w:val="44"/>
        </w:rPr>
        <w:t xml:space="preserve">4 </w:t>
      </w:r>
      <w:r w:rsidR="00347285">
        <w:rPr>
          <w:rFonts w:ascii="Cooper Black" w:hAnsi="Cooper Black"/>
          <w:sz w:val="32"/>
          <w:szCs w:val="44"/>
        </w:rPr>
        <w:t>Systems of Equations and Inequalities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4926"/>
        <w:gridCol w:w="3016"/>
      </w:tblGrid>
      <w:tr w:rsidR="001D6D57" w:rsidRPr="003F08C0" w:rsidTr="001D6D57">
        <w:trPr>
          <w:trHeight w:val="503"/>
          <w:jc w:val="center"/>
        </w:trPr>
        <w:tc>
          <w:tcPr>
            <w:tcW w:w="1166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Target</w:t>
            </w:r>
          </w:p>
        </w:tc>
        <w:tc>
          <w:tcPr>
            <w:tcW w:w="2378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Examples</w:t>
            </w:r>
          </w:p>
        </w:tc>
        <w:tc>
          <w:tcPr>
            <w:tcW w:w="1456" w:type="pct"/>
            <w:vAlign w:val="center"/>
          </w:tcPr>
          <w:p w:rsidR="00206155" w:rsidRPr="007329F1" w:rsidRDefault="00206155" w:rsidP="00206155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Key Vocabulary</w:t>
            </w:r>
          </w:p>
        </w:tc>
      </w:tr>
      <w:tr w:rsidR="001D6D57" w:rsidRPr="00124B87" w:rsidTr="001D6D57">
        <w:trPr>
          <w:trHeight w:val="720"/>
          <w:jc w:val="center"/>
        </w:trPr>
        <w:tc>
          <w:tcPr>
            <w:tcW w:w="1166" w:type="pct"/>
            <w:vAlign w:val="center"/>
          </w:tcPr>
          <w:p w:rsidR="00ED42D0" w:rsidRDefault="00347285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Graphing Systems</w:t>
            </w:r>
          </w:p>
          <w:p w:rsidR="00347285" w:rsidRPr="007329F1" w:rsidRDefault="00347285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Chapter 6 Section 1</w:t>
            </w:r>
          </w:p>
        </w:tc>
        <w:tc>
          <w:tcPr>
            <w:tcW w:w="2378" w:type="pct"/>
          </w:tcPr>
          <w:p w:rsidR="007329F1" w:rsidRPr="007329F1" w:rsidRDefault="00347285" w:rsidP="007329F1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90E208" wp14:editId="41B51435">
                  <wp:extent cx="1962150" cy="172923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25" cy="173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pct"/>
          </w:tcPr>
          <w:p w:rsidR="00F023C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 Intercept Form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Solution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No Solutions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All Real Numbers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 intercept</w:t>
            </w:r>
          </w:p>
          <w:p w:rsidR="00347285" w:rsidRPr="00347285" w:rsidRDefault="00347285" w:rsidP="00347285">
            <w:pPr>
              <w:pStyle w:val="ListParagraph"/>
              <w:numPr>
                <w:ilvl w:val="0"/>
                <w:numId w:val="12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Ordered Pair</w:t>
            </w:r>
          </w:p>
        </w:tc>
      </w:tr>
      <w:tr w:rsidR="001D6D57" w:rsidRPr="00124B87" w:rsidTr="001D6D57">
        <w:trPr>
          <w:trHeight w:val="1601"/>
          <w:jc w:val="center"/>
        </w:trPr>
        <w:tc>
          <w:tcPr>
            <w:tcW w:w="1166" w:type="pct"/>
            <w:vAlign w:val="center"/>
          </w:tcPr>
          <w:p w:rsidR="00404999" w:rsidRDefault="00347285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Systems by Substitution</w:t>
            </w:r>
          </w:p>
          <w:p w:rsidR="00347285" w:rsidRPr="007329F1" w:rsidRDefault="00347285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6 Section 2</w:t>
            </w:r>
          </w:p>
        </w:tc>
        <w:tc>
          <w:tcPr>
            <w:tcW w:w="2378" w:type="pct"/>
          </w:tcPr>
          <w:p w:rsidR="007329F1" w:rsidRPr="007329F1" w:rsidRDefault="00347285" w:rsidP="007329F1">
            <w:pPr>
              <w:jc w:val="center"/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451DF64D" wp14:editId="7CABA8A5">
                  <wp:extent cx="2800350" cy="150749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479" cy="1524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pct"/>
            <w:vAlign w:val="center"/>
          </w:tcPr>
          <w:p w:rsidR="00F023C5" w:rsidRDefault="00347285" w:rsidP="00347285">
            <w:pPr>
              <w:pStyle w:val="ListParagraph"/>
              <w:numPr>
                <w:ilvl w:val="0"/>
                <w:numId w:val="13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Substitution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3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Ordered Pair</w:t>
            </w:r>
          </w:p>
          <w:p w:rsidR="00347285" w:rsidRDefault="00347285" w:rsidP="00347285">
            <w:pPr>
              <w:pStyle w:val="ListParagraph"/>
              <w:numPr>
                <w:ilvl w:val="0"/>
                <w:numId w:val="13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X Coordinate</w:t>
            </w:r>
          </w:p>
          <w:p w:rsidR="00347285" w:rsidRPr="007329F1" w:rsidRDefault="00347285" w:rsidP="00347285">
            <w:pPr>
              <w:pStyle w:val="ListParagraph"/>
              <w:numPr>
                <w:ilvl w:val="0"/>
                <w:numId w:val="13"/>
              </w:numPr>
              <w:ind w:left="136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Y Coordinate </w:t>
            </w:r>
          </w:p>
        </w:tc>
      </w:tr>
      <w:tr w:rsidR="001D6D57" w:rsidRPr="00124B87" w:rsidTr="001D6D57">
        <w:trPr>
          <w:trHeight w:val="1556"/>
          <w:jc w:val="center"/>
        </w:trPr>
        <w:tc>
          <w:tcPr>
            <w:tcW w:w="1166" w:type="pct"/>
            <w:vAlign w:val="center"/>
          </w:tcPr>
          <w:p w:rsidR="004A6892" w:rsidRDefault="00347285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Systems by Elimination</w:t>
            </w:r>
          </w:p>
          <w:p w:rsidR="00347285" w:rsidRPr="007329F1" w:rsidRDefault="00347285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6 Section 3</w:t>
            </w:r>
          </w:p>
        </w:tc>
        <w:tc>
          <w:tcPr>
            <w:tcW w:w="2378" w:type="pct"/>
          </w:tcPr>
          <w:p w:rsidR="00B3196B" w:rsidRPr="007329F1" w:rsidRDefault="00347285" w:rsidP="00F023C5">
            <w:pPr>
              <w:jc w:val="center"/>
              <w:rPr>
                <w:rFonts w:ascii="Cambria Math" w:hAnsi="Cambria Math" w:cs="Arial"/>
                <w:sz w:val="22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21D343FB" wp14:editId="276821BB">
                  <wp:extent cx="2952750" cy="16253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215" cy="164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6" w:type="pct"/>
          </w:tcPr>
          <w:p w:rsidR="00F023C5" w:rsidRDefault="001D6D57" w:rsidP="00347285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Elimination</w:t>
            </w:r>
          </w:p>
          <w:p w:rsidR="001D6D57" w:rsidRDefault="001D6D57" w:rsidP="00347285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X Coordinate</w:t>
            </w:r>
          </w:p>
          <w:p w:rsidR="001D6D57" w:rsidRDefault="001D6D57" w:rsidP="00347285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 Coordinate</w:t>
            </w:r>
          </w:p>
          <w:p w:rsidR="001D6D57" w:rsidRDefault="001D6D57" w:rsidP="00347285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Ordered Pair</w:t>
            </w:r>
          </w:p>
          <w:p w:rsidR="001D6D57" w:rsidRPr="00347285" w:rsidRDefault="001D6D57" w:rsidP="00347285">
            <w:pPr>
              <w:pStyle w:val="ListParagraph"/>
              <w:numPr>
                <w:ilvl w:val="0"/>
                <w:numId w:val="14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Substitution </w:t>
            </w:r>
          </w:p>
        </w:tc>
      </w:tr>
      <w:tr w:rsidR="001D6D57" w:rsidRPr="00124B87" w:rsidTr="001D6D57">
        <w:trPr>
          <w:trHeight w:val="1520"/>
          <w:jc w:val="center"/>
        </w:trPr>
        <w:tc>
          <w:tcPr>
            <w:tcW w:w="1166" w:type="pct"/>
            <w:vAlign w:val="center"/>
          </w:tcPr>
          <w:p w:rsidR="001D6D57" w:rsidRDefault="001D6D57" w:rsidP="001D6D57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lastRenderedPageBreak/>
              <w:t>Linear Inequality Systems</w:t>
            </w:r>
          </w:p>
          <w:p w:rsidR="001D6D57" w:rsidRPr="007329F1" w:rsidRDefault="001D6D57" w:rsidP="001D6D57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 xml:space="preserve">Chapter 6 Section 6 </w:t>
            </w:r>
          </w:p>
        </w:tc>
        <w:tc>
          <w:tcPr>
            <w:tcW w:w="2378" w:type="pct"/>
          </w:tcPr>
          <w:p w:rsidR="007329F1" w:rsidRPr="007329F1" w:rsidRDefault="001D6D57" w:rsidP="007A113B">
            <w:pPr>
              <w:rPr>
                <w:rFonts w:ascii="Cambria Math" w:hAnsi="Cambria Math" w:cs="Arial"/>
                <w:sz w:val="28"/>
                <w:vertAlign w:val="superscript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2850D4A" wp14:editId="75434A20">
                  <wp:extent cx="2989527" cy="16383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969" cy="165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456" w:type="pct"/>
            <w:vAlign w:val="center"/>
          </w:tcPr>
          <w:p w:rsidR="00206155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Inequality</w:t>
            </w:r>
          </w:p>
          <w:p w:rsidR="001D6D57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</w:t>
            </w:r>
          </w:p>
          <w:p w:rsidR="001D6D57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Y-intercept</w:t>
            </w:r>
          </w:p>
          <w:p w:rsidR="001D6D57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Solution</w:t>
            </w:r>
          </w:p>
          <w:p w:rsidR="001D6D57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More than</w:t>
            </w:r>
          </w:p>
          <w:p w:rsidR="001D6D57" w:rsidRPr="001D6D57" w:rsidRDefault="001D6D57" w:rsidP="001D6D57">
            <w:pPr>
              <w:pStyle w:val="ListParagraph"/>
              <w:numPr>
                <w:ilvl w:val="0"/>
                <w:numId w:val="15"/>
              </w:numPr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Less than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11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7329F1">
        <w:rPr>
          <w:sz w:val="28"/>
        </w:rPr>
        <w:t>223-0373</w:t>
      </w:r>
      <w:r>
        <w:rPr>
          <w:sz w:val="28"/>
        </w:rPr>
        <w:t xml:space="preserve"> </w:t>
      </w:r>
      <w:r w:rsidR="007329F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7437A"/>
    <w:multiLevelType w:val="hybridMultilevel"/>
    <w:tmpl w:val="9D3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72F"/>
    <w:multiLevelType w:val="hybridMultilevel"/>
    <w:tmpl w:val="E390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D43CAA"/>
    <w:multiLevelType w:val="hybridMultilevel"/>
    <w:tmpl w:val="FD22CABE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6AC37BE9"/>
    <w:multiLevelType w:val="hybridMultilevel"/>
    <w:tmpl w:val="48C6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C2ABF"/>
    <w:rsid w:val="00124B87"/>
    <w:rsid w:val="001420AB"/>
    <w:rsid w:val="00147CE2"/>
    <w:rsid w:val="00176456"/>
    <w:rsid w:val="00190E55"/>
    <w:rsid w:val="001A3357"/>
    <w:rsid w:val="001D6D57"/>
    <w:rsid w:val="00206155"/>
    <w:rsid w:val="002453DD"/>
    <w:rsid w:val="00255D58"/>
    <w:rsid w:val="00265C65"/>
    <w:rsid w:val="00284D17"/>
    <w:rsid w:val="00297FE8"/>
    <w:rsid w:val="002C0259"/>
    <w:rsid w:val="003326FB"/>
    <w:rsid w:val="00347285"/>
    <w:rsid w:val="00355DD4"/>
    <w:rsid w:val="003D7186"/>
    <w:rsid w:val="003F08C0"/>
    <w:rsid w:val="00404999"/>
    <w:rsid w:val="004277D3"/>
    <w:rsid w:val="004303BA"/>
    <w:rsid w:val="0048524E"/>
    <w:rsid w:val="00491E1B"/>
    <w:rsid w:val="004A6892"/>
    <w:rsid w:val="004F1DD6"/>
    <w:rsid w:val="005077FB"/>
    <w:rsid w:val="005673C2"/>
    <w:rsid w:val="00574722"/>
    <w:rsid w:val="005915B1"/>
    <w:rsid w:val="006D2D10"/>
    <w:rsid w:val="00703C64"/>
    <w:rsid w:val="00705CB4"/>
    <w:rsid w:val="007329F1"/>
    <w:rsid w:val="00734A0C"/>
    <w:rsid w:val="007941A5"/>
    <w:rsid w:val="007A113B"/>
    <w:rsid w:val="00826B87"/>
    <w:rsid w:val="008348DA"/>
    <w:rsid w:val="008D0DE2"/>
    <w:rsid w:val="008F4B84"/>
    <w:rsid w:val="00956440"/>
    <w:rsid w:val="009B2F60"/>
    <w:rsid w:val="009D6A15"/>
    <w:rsid w:val="00A21BB9"/>
    <w:rsid w:val="00A461A1"/>
    <w:rsid w:val="00AA4BB4"/>
    <w:rsid w:val="00AE24C9"/>
    <w:rsid w:val="00B3196B"/>
    <w:rsid w:val="00CA1425"/>
    <w:rsid w:val="00D602B8"/>
    <w:rsid w:val="00D65354"/>
    <w:rsid w:val="00DF28C6"/>
    <w:rsid w:val="00E36974"/>
    <w:rsid w:val="00E45DBD"/>
    <w:rsid w:val="00E56828"/>
    <w:rsid w:val="00E961C6"/>
    <w:rsid w:val="00EA361E"/>
    <w:rsid w:val="00ED42D0"/>
    <w:rsid w:val="00F023C5"/>
    <w:rsid w:val="00F1290F"/>
    <w:rsid w:val="00F25762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46C78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A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hummelcl@qp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58D6-C2AD-40E4-BA3C-04C346C6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3</cp:revision>
  <cp:lastPrinted>2013-11-25T13:14:00Z</cp:lastPrinted>
  <dcterms:created xsi:type="dcterms:W3CDTF">2017-04-28T14:07:00Z</dcterms:created>
  <dcterms:modified xsi:type="dcterms:W3CDTF">2017-06-02T18:54:00Z</dcterms:modified>
</cp:coreProperties>
</file>